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86" w:rsidRDefault="00DD1186" w:rsidP="00DD1186">
      <w:pPr>
        <w:pStyle w:val="Default"/>
        <w:rPr>
          <w:sz w:val="22"/>
          <w:szCs w:val="22"/>
        </w:rPr>
      </w:pPr>
      <w:r>
        <w:rPr>
          <w:b/>
          <w:bCs/>
          <w:i/>
          <w:iCs/>
          <w:sz w:val="22"/>
          <w:szCs w:val="22"/>
        </w:rPr>
        <w:t xml:space="preserve">Příloha 4 </w:t>
      </w:r>
    </w:p>
    <w:p w:rsidR="00DD1186" w:rsidRDefault="00DD1186" w:rsidP="00DD1186">
      <w:pPr>
        <w:pStyle w:val="Default"/>
        <w:rPr>
          <w:sz w:val="23"/>
          <w:szCs w:val="23"/>
        </w:rPr>
      </w:pPr>
      <w:r>
        <w:rPr>
          <w:b/>
          <w:bCs/>
          <w:sz w:val="23"/>
          <w:szCs w:val="23"/>
        </w:rPr>
        <w:t xml:space="preserve">Definice mikropodniků, malých a středních podniků </w:t>
      </w:r>
    </w:p>
    <w:p w:rsidR="00DD1186" w:rsidRDefault="00DD1186" w:rsidP="00DD1186">
      <w:pPr>
        <w:pStyle w:val="Default"/>
        <w:rPr>
          <w:sz w:val="22"/>
          <w:szCs w:val="22"/>
        </w:rPr>
      </w:pPr>
      <w:r>
        <w:rPr>
          <w:sz w:val="22"/>
          <w:szCs w:val="22"/>
        </w:rPr>
        <w:t xml:space="preserve">(Příloha I nařízení Komise (EU) č. 651/2014 a nařízení Komise (EU) č. 702/2014) </w:t>
      </w:r>
    </w:p>
    <w:p w:rsidR="00DD1186" w:rsidRDefault="00DD1186" w:rsidP="00DD1186">
      <w:pPr>
        <w:pStyle w:val="Default"/>
        <w:rPr>
          <w:sz w:val="22"/>
          <w:szCs w:val="22"/>
        </w:rPr>
      </w:pPr>
      <w:r>
        <w:rPr>
          <w:i/>
          <w:iCs/>
          <w:sz w:val="22"/>
          <w:szCs w:val="22"/>
        </w:rPr>
        <w:t xml:space="preserve">Článek 1 </w:t>
      </w:r>
    </w:p>
    <w:p w:rsidR="00DD1186" w:rsidRDefault="00DD1186" w:rsidP="00DD1186">
      <w:pPr>
        <w:pStyle w:val="Default"/>
        <w:rPr>
          <w:sz w:val="22"/>
          <w:szCs w:val="22"/>
        </w:rPr>
      </w:pPr>
      <w:r>
        <w:rPr>
          <w:b/>
          <w:bCs/>
          <w:sz w:val="22"/>
          <w:szCs w:val="22"/>
        </w:rPr>
        <w:t xml:space="preserve">Podnik </w:t>
      </w:r>
    </w:p>
    <w:p w:rsidR="00DD1186" w:rsidRDefault="00DD1186" w:rsidP="00DD1186">
      <w:pPr>
        <w:pStyle w:val="Default"/>
        <w:rPr>
          <w:sz w:val="22"/>
          <w:szCs w:val="22"/>
        </w:rPr>
      </w:pPr>
      <w:r>
        <w:rPr>
          <w:sz w:val="22"/>
          <w:szCs w:val="22"/>
        </w:rPr>
        <w:t xml:space="preserve">Podnikem se rozumí každý subjekt vykonávající hospodářskou činnost, bez ohledu na svou právní formu. K těmto subjektům patří zejména osoby samostatně výdělečně činné a rodinné podniky vykonávající řemeslné či jiné činnosti a obchodní společnosti nebo sdružení, která pravidelně vykonávají hospodářskou činnost. </w:t>
      </w:r>
    </w:p>
    <w:p w:rsidR="00DD1186" w:rsidRDefault="00DD1186" w:rsidP="00DD1186">
      <w:pPr>
        <w:pStyle w:val="Default"/>
        <w:rPr>
          <w:sz w:val="22"/>
          <w:szCs w:val="22"/>
        </w:rPr>
      </w:pPr>
      <w:r>
        <w:rPr>
          <w:i/>
          <w:iCs/>
          <w:sz w:val="22"/>
          <w:szCs w:val="22"/>
        </w:rPr>
        <w:t xml:space="preserve">Článek 2 </w:t>
      </w:r>
    </w:p>
    <w:p w:rsidR="00DD1186" w:rsidRDefault="00DD1186" w:rsidP="00DD1186">
      <w:pPr>
        <w:pStyle w:val="Default"/>
        <w:rPr>
          <w:sz w:val="22"/>
          <w:szCs w:val="22"/>
        </w:rPr>
      </w:pPr>
      <w:r>
        <w:rPr>
          <w:b/>
          <w:bCs/>
          <w:sz w:val="22"/>
          <w:szCs w:val="22"/>
        </w:rPr>
        <w:t xml:space="preserve">Počet zaměstnanců a finanční stropy vymezující kategorie podniků </w:t>
      </w:r>
    </w:p>
    <w:p w:rsidR="00DD1186" w:rsidRDefault="00DD1186" w:rsidP="00DD1186">
      <w:pPr>
        <w:pStyle w:val="Default"/>
        <w:rPr>
          <w:sz w:val="22"/>
          <w:szCs w:val="22"/>
        </w:rPr>
      </w:pPr>
      <w:r>
        <w:rPr>
          <w:sz w:val="22"/>
          <w:szCs w:val="22"/>
        </w:rPr>
        <w:t xml:space="preserve">1. Kategorie mikropodniků, malých a středních podniků (MSP) je složena z podniků, které zaměstnávají méně než 250 osob a jejichž roční obrat nepřesahuje 50 milionů EUR nebo jejichž bilanční suma roční rozvahy nepřesahuje 43 miliony EUR. </w:t>
      </w:r>
    </w:p>
    <w:p w:rsidR="00DD1186" w:rsidRDefault="00DD1186" w:rsidP="00DD1186">
      <w:pPr>
        <w:pStyle w:val="Default"/>
        <w:rPr>
          <w:sz w:val="22"/>
          <w:szCs w:val="22"/>
        </w:rPr>
      </w:pPr>
    </w:p>
    <w:p w:rsidR="00DD1186" w:rsidRDefault="00DD1186" w:rsidP="00DD1186">
      <w:pPr>
        <w:pStyle w:val="Default"/>
        <w:rPr>
          <w:sz w:val="22"/>
          <w:szCs w:val="22"/>
        </w:rPr>
      </w:pPr>
      <w:r>
        <w:rPr>
          <w:sz w:val="22"/>
          <w:szCs w:val="22"/>
        </w:rPr>
        <w:t xml:space="preserve">2. V rámci kategorie MSP je malý podnik vymezen jako podnik, který zaměstnává méně než 50 osob a jehož roční obrat nebo bilanční suma roční rozvahy nepřesahuje 10 milionů EUR. </w:t>
      </w:r>
    </w:p>
    <w:p w:rsidR="00DD1186" w:rsidRDefault="00DD1186" w:rsidP="00DD1186">
      <w:pPr>
        <w:pStyle w:val="Default"/>
        <w:rPr>
          <w:sz w:val="22"/>
          <w:szCs w:val="22"/>
        </w:rPr>
      </w:pPr>
    </w:p>
    <w:p w:rsidR="00DD1186" w:rsidRDefault="00DD1186" w:rsidP="00DD1186">
      <w:pPr>
        <w:pStyle w:val="Default"/>
        <w:rPr>
          <w:sz w:val="22"/>
          <w:szCs w:val="22"/>
        </w:rPr>
      </w:pPr>
      <w:r>
        <w:rPr>
          <w:sz w:val="22"/>
          <w:szCs w:val="22"/>
        </w:rPr>
        <w:t xml:space="preserve">3. V rámci kategorie MSP je mikropodnik vymezen jako podnik, který zaměstnává méně než 10 osob a jehož roční obrat nebo bilanční suma roční rozvahy nepřesahuje 2 miliony EUR. </w:t>
      </w:r>
    </w:p>
    <w:p w:rsidR="00DD1186" w:rsidRDefault="00DD1186" w:rsidP="00DD1186">
      <w:pPr>
        <w:pStyle w:val="Default"/>
        <w:rPr>
          <w:sz w:val="22"/>
          <w:szCs w:val="22"/>
        </w:rPr>
      </w:pPr>
    </w:p>
    <w:p w:rsidR="00DD1186" w:rsidRDefault="00DD1186" w:rsidP="00DD1186">
      <w:pPr>
        <w:pStyle w:val="Default"/>
        <w:rPr>
          <w:sz w:val="22"/>
          <w:szCs w:val="22"/>
        </w:rPr>
      </w:pPr>
      <w:r>
        <w:rPr>
          <w:i/>
          <w:iCs/>
          <w:sz w:val="22"/>
          <w:szCs w:val="22"/>
        </w:rPr>
        <w:t xml:space="preserve">Článek 3 </w:t>
      </w:r>
    </w:p>
    <w:p w:rsidR="00DD1186" w:rsidRDefault="00DD1186" w:rsidP="00DD1186">
      <w:pPr>
        <w:pStyle w:val="Default"/>
        <w:rPr>
          <w:sz w:val="22"/>
          <w:szCs w:val="22"/>
        </w:rPr>
      </w:pPr>
      <w:r>
        <w:rPr>
          <w:b/>
          <w:bCs/>
          <w:sz w:val="22"/>
          <w:szCs w:val="22"/>
        </w:rPr>
        <w:t xml:space="preserve">Druhy podniků, které jsou brány v potaz při výpočtu počtu zaměstnanců a finančních hodnot </w:t>
      </w:r>
    </w:p>
    <w:p w:rsidR="00DD1186" w:rsidRDefault="00DD1186" w:rsidP="00DD1186">
      <w:pPr>
        <w:pStyle w:val="Default"/>
        <w:rPr>
          <w:sz w:val="22"/>
          <w:szCs w:val="22"/>
        </w:rPr>
      </w:pPr>
      <w:r>
        <w:rPr>
          <w:sz w:val="22"/>
          <w:szCs w:val="22"/>
        </w:rPr>
        <w:t>1. „</w:t>
      </w:r>
      <w:r>
        <w:rPr>
          <w:i/>
          <w:iCs/>
          <w:sz w:val="22"/>
          <w:szCs w:val="22"/>
        </w:rPr>
        <w:t>Nezávislé podniky</w:t>
      </w:r>
      <w:r>
        <w:rPr>
          <w:sz w:val="22"/>
          <w:szCs w:val="22"/>
        </w:rPr>
        <w:t xml:space="preserve">“ jsou všechny podniky, které nejsou zařazeny mezi partnerské podniky ve smyslu odstavce 2 ani mezi propojené podniky ve smyslu odstavce 3. </w:t>
      </w:r>
    </w:p>
    <w:p w:rsidR="00DD1186" w:rsidRDefault="00DD1186" w:rsidP="00DD1186">
      <w:pPr>
        <w:pStyle w:val="Default"/>
        <w:rPr>
          <w:sz w:val="22"/>
          <w:szCs w:val="22"/>
        </w:rPr>
      </w:pPr>
    </w:p>
    <w:p w:rsidR="00DD1186" w:rsidRDefault="00DD1186" w:rsidP="00DD1186">
      <w:pPr>
        <w:pStyle w:val="Default"/>
        <w:rPr>
          <w:sz w:val="22"/>
          <w:szCs w:val="22"/>
        </w:rPr>
      </w:pPr>
      <w:r>
        <w:rPr>
          <w:sz w:val="22"/>
          <w:szCs w:val="22"/>
        </w:rPr>
        <w:t>2. „</w:t>
      </w:r>
      <w:r>
        <w:rPr>
          <w:i/>
          <w:iCs/>
          <w:sz w:val="22"/>
          <w:szCs w:val="22"/>
        </w:rPr>
        <w:t>Partnerské podniky</w:t>
      </w:r>
      <w:r>
        <w:rPr>
          <w:sz w:val="22"/>
          <w:szCs w:val="22"/>
        </w:rPr>
        <w:t xml:space="preserve">“ jsou všechny podniky, které nejsou zařazeny mezi propojené podniky ve smyslu odstavce 3 a mezi kterými existuje následující vztah: podnik (mateřský podnik) vlastní sám nebo společně s jedním či více propojenými podniky ve smyslu odstavce 3, 25 % nebo více procent základního kapitálu nebo hlasovacích práv jiného podniku (dceřiný podnik). </w:t>
      </w:r>
    </w:p>
    <w:p w:rsidR="00DD1186" w:rsidRDefault="00DD1186" w:rsidP="00DD1186">
      <w:pPr>
        <w:pStyle w:val="Default"/>
        <w:rPr>
          <w:sz w:val="22"/>
          <w:szCs w:val="22"/>
        </w:rPr>
      </w:pPr>
    </w:p>
    <w:p w:rsidR="00DD1186" w:rsidRDefault="00DD1186" w:rsidP="00DD1186">
      <w:pPr>
        <w:pStyle w:val="Default"/>
        <w:rPr>
          <w:sz w:val="22"/>
          <w:szCs w:val="22"/>
        </w:rPr>
      </w:pPr>
      <w:r>
        <w:rPr>
          <w:sz w:val="22"/>
          <w:szCs w:val="22"/>
        </w:rPr>
        <w:t xml:space="preserve">Podnik však může být zařazen mezi nezávislé podniky a nemá tedy žádný partnerský podnik, přestože je následujícími investory tento práh 25 % dosažen nebo je překročen, za předpokladu, že tito investoři nejsou jednotlivě ani společně propojeni ve smyslu odstavce 3 s dotyčným podnikem: </w:t>
      </w:r>
    </w:p>
    <w:p w:rsidR="00DD1186" w:rsidRDefault="00DD1186" w:rsidP="00DD1186">
      <w:pPr>
        <w:pStyle w:val="Default"/>
        <w:spacing w:after="17"/>
        <w:rPr>
          <w:sz w:val="22"/>
          <w:szCs w:val="22"/>
        </w:rPr>
      </w:pPr>
      <w:r>
        <w:rPr>
          <w:sz w:val="22"/>
          <w:szCs w:val="22"/>
        </w:rPr>
        <w:t xml:space="preserve">a) veřejné investiční společnosti, společnosti rizikového kapitálu, jednotlivci či skupiny jednotlivců provozujících pravidelnou činnost spojenou s investováním rizikového kapitálu, které investují do vlastního kapitálu nekotovaných podniků (business </w:t>
      </w:r>
      <w:proofErr w:type="spellStart"/>
      <w:r>
        <w:rPr>
          <w:sz w:val="22"/>
          <w:szCs w:val="22"/>
        </w:rPr>
        <w:t>angels</w:t>
      </w:r>
      <w:proofErr w:type="spellEnd"/>
      <w:r>
        <w:rPr>
          <w:sz w:val="22"/>
          <w:szCs w:val="22"/>
        </w:rPr>
        <w:t xml:space="preserve">), za předpokladu, že jsou celkové investice těchto business </w:t>
      </w:r>
      <w:proofErr w:type="spellStart"/>
      <w:r>
        <w:rPr>
          <w:sz w:val="22"/>
          <w:szCs w:val="22"/>
        </w:rPr>
        <w:t>angelsdo</w:t>
      </w:r>
      <w:proofErr w:type="spellEnd"/>
      <w:r>
        <w:rPr>
          <w:sz w:val="22"/>
          <w:szCs w:val="22"/>
        </w:rPr>
        <w:t xml:space="preserve"> stejného podniku nižší než 1 250 000 EUR; </w:t>
      </w:r>
    </w:p>
    <w:p w:rsidR="00DD1186" w:rsidRDefault="00DD1186" w:rsidP="00DD1186">
      <w:pPr>
        <w:pStyle w:val="Default"/>
        <w:spacing w:after="17"/>
        <w:rPr>
          <w:sz w:val="22"/>
          <w:szCs w:val="22"/>
        </w:rPr>
      </w:pPr>
      <w:r>
        <w:rPr>
          <w:sz w:val="22"/>
          <w:szCs w:val="22"/>
        </w:rPr>
        <w:t xml:space="preserve">b) univerzity nebo nezisková výzkumná střediska; </w:t>
      </w:r>
    </w:p>
    <w:p w:rsidR="00DD1186" w:rsidRDefault="00DD1186" w:rsidP="00DD1186">
      <w:pPr>
        <w:pStyle w:val="Default"/>
        <w:spacing w:after="17"/>
        <w:rPr>
          <w:sz w:val="22"/>
          <w:szCs w:val="22"/>
        </w:rPr>
      </w:pPr>
      <w:r>
        <w:rPr>
          <w:sz w:val="22"/>
          <w:szCs w:val="22"/>
        </w:rPr>
        <w:t xml:space="preserve">c) institucionální investoři včetně fondů pro regionální rozvoj; </w:t>
      </w:r>
    </w:p>
    <w:p w:rsidR="00DD1186" w:rsidRDefault="00DD1186" w:rsidP="00DD1186">
      <w:pPr>
        <w:pStyle w:val="Default"/>
        <w:rPr>
          <w:sz w:val="22"/>
          <w:szCs w:val="22"/>
        </w:rPr>
      </w:pPr>
      <w:r>
        <w:rPr>
          <w:sz w:val="22"/>
          <w:szCs w:val="22"/>
        </w:rPr>
        <w:t xml:space="preserve">d) samostatné místní orgány s ročním rozpočtem nižším než 10 milionů EUR a s méně než 5 000 obyvateli. </w:t>
      </w:r>
    </w:p>
    <w:p w:rsidR="00DD1186" w:rsidRDefault="00DD1186" w:rsidP="00DD1186">
      <w:pPr>
        <w:pStyle w:val="Default"/>
        <w:rPr>
          <w:rFonts w:ascii="Times New Roman" w:hAnsi="Times New Roman" w:cs="Times New Roman"/>
          <w:sz w:val="20"/>
          <w:szCs w:val="20"/>
        </w:rPr>
      </w:pPr>
      <w:r>
        <w:rPr>
          <w:rFonts w:ascii="Times New Roman" w:hAnsi="Times New Roman" w:cs="Times New Roman"/>
          <w:sz w:val="20"/>
          <w:szCs w:val="20"/>
        </w:rPr>
        <w:t xml:space="preserve">100 </w:t>
      </w:r>
    </w:p>
    <w:p w:rsidR="00DD1186" w:rsidRDefault="00DD1186" w:rsidP="00DD1186">
      <w:pPr>
        <w:pStyle w:val="Default"/>
        <w:rPr>
          <w:color w:val="auto"/>
        </w:rPr>
      </w:pPr>
    </w:p>
    <w:p w:rsidR="00DD1186" w:rsidRDefault="00DD1186" w:rsidP="00DD1186">
      <w:pPr>
        <w:pStyle w:val="Default"/>
        <w:pageBreakBefore/>
        <w:rPr>
          <w:color w:val="auto"/>
          <w:sz w:val="22"/>
          <w:szCs w:val="22"/>
        </w:rPr>
      </w:pPr>
      <w:r>
        <w:rPr>
          <w:color w:val="auto"/>
          <w:sz w:val="22"/>
          <w:szCs w:val="22"/>
        </w:rPr>
        <w:lastRenderedPageBreak/>
        <w:t>3. „</w:t>
      </w:r>
      <w:r>
        <w:rPr>
          <w:i/>
          <w:iCs/>
          <w:color w:val="auto"/>
          <w:sz w:val="22"/>
          <w:szCs w:val="22"/>
        </w:rPr>
        <w:t>Propojené podniky</w:t>
      </w:r>
      <w:r>
        <w:rPr>
          <w:color w:val="auto"/>
          <w:sz w:val="22"/>
          <w:szCs w:val="22"/>
        </w:rPr>
        <w:t xml:space="preserve">“ jsou podniky, mezi nimiž existuje některý z následujících vztahů: </w:t>
      </w:r>
    </w:p>
    <w:p w:rsidR="00DD1186" w:rsidRDefault="00DD1186" w:rsidP="00DD1186">
      <w:pPr>
        <w:pStyle w:val="Default"/>
        <w:spacing w:after="17"/>
        <w:rPr>
          <w:color w:val="auto"/>
          <w:sz w:val="22"/>
          <w:szCs w:val="22"/>
        </w:rPr>
      </w:pPr>
      <w:r>
        <w:rPr>
          <w:color w:val="auto"/>
          <w:sz w:val="22"/>
          <w:szCs w:val="22"/>
        </w:rPr>
        <w:t xml:space="preserve">a) podnik vlastní většinu hlasovacích práv akcionářů nebo společníků v jiném podniku; </w:t>
      </w:r>
    </w:p>
    <w:p w:rsidR="00DD1186" w:rsidRDefault="00DD1186" w:rsidP="00DD1186">
      <w:pPr>
        <w:pStyle w:val="Default"/>
        <w:spacing w:after="17"/>
        <w:rPr>
          <w:color w:val="auto"/>
          <w:sz w:val="22"/>
          <w:szCs w:val="22"/>
        </w:rPr>
      </w:pPr>
      <w:r>
        <w:rPr>
          <w:color w:val="auto"/>
          <w:sz w:val="22"/>
          <w:szCs w:val="22"/>
        </w:rPr>
        <w:t xml:space="preserve">b) podnik má právo jmenovat nebo odvolávat většinu členů správního, řídícího nebo dozorčího orgánu jiného podniku; </w:t>
      </w:r>
    </w:p>
    <w:p w:rsidR="00DD1186" w:rsidRDefault="00DD1186" w:rsidP="00DD1186">
      <w:pPr>
        <w:pStyle w:val="Default"/>
        <w:spacing w:after="17"/>
        <w:rPr>
          <w:color w:val="auto"/>
          <w:sz w:val="22"/>
          <w:szCs w:val="22"/>
        </w:rPr>
      </w:pPr>
      <w:r>
        <w:rPr>
          <w:color w:val="auto"/>
          <w:sz w:val="22"/>
          <w:szCs w:val="22"/>
        </w:rPr>
        <w:t xml:space="preserve">c) podnik má právo uplatňovat rozhodující vliv v jiném podniku podle smlouvy uzavřené s daným podnikem nebo dle ustanovení v zakladatelské listině, zakladatelské či společenské smlouvě nebo ve stanovách tohoto podniku; </w:t>
      </w:r>
    </w:p>
    <w:p w:rsidR="00DD1186" w:rsidRDefault="00DD1186" w:rsidP="00DD1186">
      <w:pPr>
        <w:pStyle w:val="Default"/>
        <w:rPr>
          <w:color w:val="auto"/>
          <w:sz w:val="22"/>
          <w:szCs w:val="22"/>
        </w:rPr>
      </w:pPr>
      <w:r>
        <w:rPr>
          <w:color w:val="auto"/>
          <w:sz w:val="22"/>
          <w:szCs w:val="22"/>
        </w:rPr>
        <w:t xml:space="preserve">d) podnik, který je akcionářem nebo členem jiného podniku, ovládá sám v souladu s dohodou uzavřenou s jinými akcionáři nebo společníky daného podniku většinu hlasovacích práv náležejících akcionářům nebo společníkům v daném podniku. </w:t>
      </w:r>
    </w:p>
    <w:p w:rsidR="00DD1186" w:rsidRDefault="00DD1186" w:rsidP="00DD1186">
      <w:pPr>
        <w:pStyle w:val="Default"/>
        <w:rPr>
          <w:color w:val="auto"/>
          <w:sz w:val="22"/>
          <w:szCs w:val="22"/>
        </w:rPr>
      </w:pPr>
    </w:p>
    <w:p w:rsidR="00DD1186" w:rsidRDefault="00DD1186" w:rsidP="00DD1186">
      <w:pPr>
        <w:pStyle w:val="Default"/>
        <w:rPr>
          <w:color w:val="auto"/>
          <w:sz w:val="22"/>
          <w:szCs w:val="22"/>
        </w:rPr>
      </w:pPr>
      <w:r>
        <w:rPr>
          <w:color w:val="auto"/>
          <w:sz w:val="22"/>
          <w:szCs w:val="22"/>
        </w:rPr>
        <w:t xml:space="preserve">Předpokládá se, že rozhodující vliv není uplatňován, pokud investoři uvedení v odst. 2 druhém pododstavci nejsou zapojeni přímo či nepřímo do řízení daného podniku, aniž jsou tím dotčena jejich práva jakožto akcionářů nebo společníků. </w:t>
      </w:r>
    </w:p>
    <w:p w:rsidR="00DD1186" w:rsidRDefault="00DD1186" w:rsidP="00DD1186">
      <w:pPr>
        <w:pStyle w:val="Default"/>
        <w:rPr>
          <w:color w:val="auto"/>
          <w:sz w:val="22"/>
          <w:szCs w:val="22"/>
        </w:rPr>
      </w:pPr>
      <w:r>
        <w:rPr>
          <w:color w:val="auto"/>
          <w:sz w:val="22"/>
          <w:szCs w:val="22"/>
        </w:rPr>
        <w:t xml:space="preserve">Podniky, jež mezi sebou mají některý ze vztahů popsaných v prvním pododstavci prostřednictvím jednoho či více dalších podniků nebo prostřednictvím některého z investorů uvedených v odstavci 2, jsou rovněž považovány za propojené. </w:t>
      </w:r>
    </w:p>
    <w:p w:rsidR="00DD1186" w:rsidRDefault="00DD1186" w:rsidP="00DD1186">
      <w:pPr>
        <w:pStyle w:val="Default"/>
        <w:rPr>
          <w:color w:val="auto"/>
          <w:sz w:val="22"/>
          <w:szCs w:val="22"/>
        </w:rPr>
      </w:pPr>
      <w:r>
        <w:rPr>
          <w:color w:val="auto"/>
          <w:sz w:val="22"/>
          <w:szCs w:val="22"/>
        </w:rPr>
        <w:t xml:space="preserve">Podniky, které mají jeden či více takových vztahů prostřednictvím fyzické osoby nebo prostřednictvím skupiny fyzických osob, které jednají společně, jsou taktéž považovány za propojené podniky, pokud svou činnost nebo část své činnosti vykonávají na stejném relevantním trhu nebo na sousedních trzích. </w:t>
      </w:r>
    </w:p>
    <w:p w:rsidR="00DD1186" w:rsidRDefault="00DD1186" w:rsidP="00DD1186">
      <w:pPr>
        <w:pStyle w:val="Default"/>
        <w:rPr>
          <w:color w:val="auto"/>
          <w:sz w:val="22"/>
          <w:szCs w:val="22"/>
        </w:rPr>
      </w:pPr>
      <w:r>
        <w:rPr>
          <w:color w:val="auto"/>
          <w:sz w:val="22"/>
          <w:szCs w:val="22"/>
        </w:rPr>
        <w:t xml:space="preserve">Za „sousední trh“ se považuje trh pro výrobky nebo služby, který bezprostředně navazuje na relevantní trh nebo mu předchází. </w:t>
      </w:r>
    </w:p>
    <w:p w:rsidR="00DD1186" w:rsidRDefault="00DD1186" w:rsidP="00DD1186">
      <w:pPr>
        <w:pStyle w:val="Default"/>
        <w:rPr>
          <w:color w:val="auto"/>
          <w:sz w:val="22"/>
          <w:szCs w:val="22"/>
        </w:rPr>
      </w:pPr>
      <w:r>
        <w:rPr>
          <w:color w:val="auto"/>
          <w:sz w:val="22"/>
          <w:szCs w:val="22"/>
        </w:rPr>
        <w:t xml:space="preserve">4. S výjimkou případů uvedených v odst. 2 druhém pododstavci nemůže být podnik považován za MSP, jestliže je 25 % nebo více procent základního kapitálu nebo hlasovacích práv přímo nebo nepřímo ovládáno, společně či jednotlivě, jedním či více z veřejných subjektů. </w:t>
      </w:r>
    </w:p>
    <w:p w:rsidR="00DD1186" w:rsidRDefault="00DD1186" w:rsidP="00DD1186">
      <w:pPr>
        <w:pStyle w:val="Default"/>
        <w:rPr>
          <w:color w:val="auto"/>
          <w:sz w:val="22"/>
          <w:szCs w:val="22"/>
        </w:rPr>
      </w:pPr>
    </w:p>
    <w:p w:rsidR="00DD1186" w:rsidRDefault="00DD1186" w:rsidP="00DD1186">
      <w:pPr>
        <w:pStyle w:val="Default"/>
        <w:rPr>
          <w:color w:val="auto"/>
          <w:sz w:val="22"/>
          <w:szCs w:val="22"/>
        </w:rPr>
      </w:pPr>
      <w:r>
        <w:rPr>
          <w:color w:val="auto"/>
          <w:sz w:val="22"/>
          <w:szCs w:val="22"/>
        </w:rPr>
        <w:t xml:space="preserve">5. Podniky mohou vydat prohlášení o svém postavení nezávislého podniku, partnerského podniku nebo propojeného podniku s uvedením údajů týkajících se prahů vymezených v článku 2. Prohlášení může být vydáno i v případě, že základní kapitál je rozdělen způsobem, který neumožňuje přesné určení toho, kdo jej drží, v kterémžto případě může podnik v dobré víře prohlásit, že může oprávněně předpokládat, že není vlastněn z 25 % či z více procent jiným podnikem ani společně podniky vzájemně mezi sebou propojenými. Tato prohlášení jsou vydávána, aniž jsou dotčeny kontroly a šetření prováděná podle vnitrostátních pravidel nebo podle pravidel Unie. </w:t>
      </w:r>
    </w:p>
    <w:p w:rsidR="00DD1186" w:rsidRDefault="00DD1186" w:rsidP="00DD1186">
      <w:pPr>
        <w:pStyle w:val="Default"/>
        <w:rPr>
          <w:color w:val="auto"/>
          <w:sz w:val="22"/>
          <w:szCs w:val="22"/>
        </w:rPr>
      </w:pPr>
    </w:p>
    <w:p w:rsidR="00DD1186" w:rsidRDefault="00DD1186" w:rsidP="00DD1186">
      <w:pPr>
        <w:pStyle w:val="Default"/>
        <w:rPr>
          <w:color w:val="auto"/>
          <w:sz w:val="22"/>
          <w:szCs w:val="22"/>
        </w:rPr>
      </w:pPr>
      <w:r>
        <w:rPr>
          <w:i/>
          <w:iCs/>
          <w:color w:val="auto"/>
          <w:sz w:val="22"/>
          <w:szCs w:val="22"/>
        </w:rPr>
        <w:t xml:space="preserve">Článek 4 </w:t>
      </w:r>
    </w:p>
    <w:p w:rsidR="00DD1186" w:rsidRDefault="00DD1186" w:rsidP="00DD1186">
      <w:pPr>
        <w:pStyle w:val="Default"/>
        <w:rPr>
          <w:color w:val="auto"/>
          <w:sz w:val="22"/>
          <w:szCs w:val="22"/>
        </w:rPr>
      </w:pPr>
      <w:r>
        <w:rPr>
          <w:b/>
          <w:bCs/>
          <w:color w:val="auto"/>
          <w:sz w:val="22"/>
          <w:szCs w:val="22"/>
        </w:rPr>
        <w:t xml:space="preserve">Údaje použité při výpočtu počtu zaměstnanců a finančních hodnot a sledované období </w:t>
      </w:r>
    </w:p>
    <w:p w:rsidR="00DD1186" w:rsidRDefault="00DD1186" w:rsidP="00DD1186">
      <w:pPr>
        <w:pStyle w:val="Default"/>
        <w:spacing w:after="17"/>
        <w:rPr>
          <w:color w:val="auto"/>
          <w:sz w:val="22"/>
          <w:szCs w:val="22"/>
        </w:rPr>
      </w:pPr>
      <w:r>
        <w:rPr>
          <w:color w:val="auto"/>
          <w:sz w:val="22"/>
          <w:szCs w:val="22"/>
        </w:rPr>
        <w:t xml:space="preserve">1. Údaji použitými při výpočtu počtu zaměstnanců a finančních hodnot jsou údaje týkající se posledního schváleného účetního období vypočtené za období jednoho roku. Tyto údaje jsou brány v potaz ode dne účetní závěrky. Částka zvolená za výši obratu je vypočítána bez daně z přidané hodnoty (DPH) a bez dalších nepřímých daní. </w:t>
      </w:r>
    </w:p>
    <w:p w:rsidR="00DD1186" w:rsidRDefault="00DD1186" w:rsidP="00DD1186">
      <w:pPr>
        <w:pStyle w:val="Default"/>
        <w:spacing w:after="17"/>
        <w:rPr>
          <w:color w:val="auto"/>
          <w:sz w:val="22"/>
          <w:szCs w:val="22"/>
        </w:rPr>
      </w:pPr>
      <w:r>
        <w:rPr>
          <w:color w:val="auto"/>
          <w:sz w:val="22"/>
          <w:szCs w:val="22"/>
        </w:rPr>
        <w:t xml:space="preserve">2. V případech, kdy podnik ke dni účetní závěrky zjistí, že jsou za dané roční období překročeny v jenom či druhém směru prahy pro počet pracovníků nebo finanční prahy uvedené v článku 2, nepovede tato skutečnost ke ztrátě či získání postavení středního nebo malého podniku či mikropodniku, jestliže tyto prahy nejsou překročeny po dobu dvou po sobě jdoucích účetních období. </w:t>
      </w:r>
    </w:p>
    <w:p w:rsidR="00DD1186" w:rsidRDefault="00DD1186" w:rsidP="00DD1186">
      <w:pPr>
        <w:pStyle w:val="Default"/>
        <w:rPr>
          <w:color w:val="auto"/>
          <w:sz w:val="22"/>
          <w:szCs w:val="22"/>
        </w:rPr>
      </w:pPr>
      <w:r>
        <w:rPr>
          <w:color w:val="auto"/>
          <w:sz w:val="22"/>
          <w:szCs w:val="22"/>
        </w:rPr>
        <w:t xml:space="preserve">3. V případě nově založených podniků, jež dosud nemohou předložit účetní závěrku, jsou údaje použité při výpočtu odvozeny z odhadů učiněných v dobré víře v průběhu účetního období. </w:t>
      </w:r>
    </w:p>
    <w:p w:rsidR="00DD1186" w:rsidRDefault="00DD1186" w:rsidP="00DD118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101 </w:t>
      </w:r>
    </w:p>
    <w:p w:rsidR="00DD1186" w:rsidRDefault="00DD1186" w:rsidP="00DD1186">
      <w:pPr>
        <w:pStyle w:val="Default"/>
        <w:rPr>
          <w:color w:val="auto"/>
        </w:rPr>
      </w:pPr>
    </w:p>
    <w:p w:rsidR="00DD1186" w:rsidRDefault="00DD1186" w:rsidP="00DD1186">
      <w:pPr>
        <w:pStyle w:val="Default"/>
        <w:pageBreakBefore/>
        <w:rPr>
          <w:color w:val="auto"/>
          <w:sz w:val="22"/>
          <w:szCs w:val="22"/>
        </w:rPr>
      </w:pPr>
      <w:r>
        <w:rPr>
          <w:i/>
          <w:iCs/>
          <w:color w:val="auto"/>
          <w:sz w:val="22"/>
          <w:szCs w:val="22"/>
        </w:rPr>
        <w:lastRenderedPageBreak/>
        <w:t xml:space="preserve">Článek 5 </w:t>
      </w:r>
    </w:p>
    <w:p w:rsidR="00DD1186" w:rsidRDefault="00DD1186" w:rsidP="00DD1186">
      <w:pPr>
        <w:pStyle w:val="Default"/>
        <w:rPr>
          <w:color w:val="auto"/>
          <w:sz w:val="22"/>
          <w:szCs w:val="22"/>
        </w:rPr>
      </w:pPr>
      <w:r>
        <w:rPr>
          <w:b/>
          <w:bCs/>
          <w:color w:val="auto"/>
          <w:sz w:val="22"/>
          <w:szCs w:val="22"/>
        </w:rPr>
        <w:t xml:space="preserve">Počet zaměstnanců </w:t>
      </w:r>
    </w:p>
    <w:p w:rsidR="00DD1186" w:rsidRDefault="00DD1186" w:rsidP="00DD1186">
      <w:pPr>
        <w:pStyle w:val="Default"/>
        <w:rPr>
          <w:color w:val="auto"/>
          <w:sz w:val="22"/>
          <w:szCs w:val="22"/>
        </w:rPr>
      </w:pPr>
      <w:r>
        <w:rPr>
          <w:color w:val="auto"/>
          <w:sz w:val="22"/>
          <w:szCs w:val="22"/>
        </w:rPr>
        <w:t xml:space="preserve">Počet zaměstnanců odpovídá počtu ročních pracovních jednotek (RPJ), tzn. počtu osob, které byly v daném podniku nebo jeho jménem zaměstnány na plný pracovní úvazek po celý sledovaný rok. Práce osob, které nepracovaly po celý rok, práce osob, které pracovaly na částečný úvazek bez ohledu na jeho délku, a práce sezónních pracovníků se započítává jako zlomky ročních pracovních jednotek. Do počtu zaměstnanců jsou zahrnováni: </w:t>
      </w:r>
    </w:p>
    <w:p w:rsidR="00DD1186" w:rsidRDefault="00DD1186" w:rsidP="00DD1186">
      <w:pPr>
        <w:pStyle w:val="Default"/>
        <w:spacing w:after="14"/>
        <w:rPr>
          <w:color w:val="auto"/>
          <w:sz w:val="22"/>
          <w:szCs w:val="22"/>
        </w:rPr>
      </w:pPr>
      <w:r>
        <w:rPr>
          <w:color w:val="auto"/>
          <w:sz w:val="22"/>
          <w:szCs w:val="22"/>
        </w:rPr>
        <w:t xml:space="preserve">a) zaměstnanci; </w:t>
      </w:r>
    </w:p>
    <w:p w:rsidR="00DD1186" w:rsidRDefault="00DD1186" w:rsidP="00DD1186">
      <w:pPr>
        <w:pStyle w:val="Default"/>
        <w:spacing w:after="14"/>
        <w:rPr>
          <w:color w:val="auto"/>
          <w:sz w:val="22"/>
          <w:szCs w:val="22"/>
        </w:rPr>
      </w:pPr>
      <w:r>
        <w:rPr>
          <w:color w:val="auto"/>
          <w:sz w:val="22"/>
          <w:szCs w:val="22"/>
        </w:rPr>
        <w:t xml:space="preserve">b) osoby pracující pro podnik v podřízeném postavení, které jsou považovány za zaměstnance v souladu s vnitrostátním právem; </w:t>
      </w:r>
    </w:p>
    <w:p w:rsidR="00DD1186" w:rsidRDefault="00DD1186" w:rsidP="00DD1186">
      <w:pPr>
        <w:pStyle w:val="Default"/>
        <w:spacing w:after="14"/>
        <w:rPr>
          <w:color w:val="auto"/>
          <w:sz w:val="22"/>
          <w:szCs w:val="22"/>
        </w:rPr>
      </w:pPr>
      <w:r>
        <w:rPr>
          <w:color w:val="auto"/>
          <w:sz w:val="22"/>
          <w:szCs w:val="22"/>
        </w:rPr>
        <w:t xml:space="preserve">c) vlastníci-vedoucí pracovníci, </w:t>
      </w:r>
    </w:p>
    <w:p w:rsidR="00DD1186" w:rsidRDefault="00DD1186" w:rsidP="00DD1186">
      <w:pPr>
        <w:pStyle w:val="Default"/>
        <w:rPr>
          <w:color w:val="auto"/>
          <w:sz w:val="22"/>
          <w:szCs w:val="22"/>
        </w:rPr>
      </w:pPr>
      <w:r>
        <w:rPr>
          <w:color w:val="auto"/>
          <w:sz w:val="22"/>
          <w:szCs w:val="22"/>
        </w:rPr>
        <w:t xml:space="preserve">d) společníci vykonávající v podniku pravidelnou činnost, kteří využívají finančních výhod plynoucích z podniku. </w:t>
      </w:r>
    </w:p>
    <w:p w:rsidR="00DD1186" w:rsidRDefault="00DD1186" w:rsidP="00DD1186">
      <w:pPr>
        <w:pStyle w:val="Default"/>
        <w:rPr>
          <w:color w:val="auto"/>
          <w:sz w:val="22"/>
          <w:szCs w:val="22"/>
        </w:rPr>
      </w:pPr>
    </w:p>
    <w:p w:rsidR="00DD1186" w:rsidRDefault="00DD1186" w:rsidP="00DD1186">
      <w:pPr>
        <w:pStyle w:val="Default"/>
        <w:rPr>
          <w:color w:val="auto"/>
          <w:sz w:val="22"/>
          <w:szCs w:val="22"/>
        </w:rPr>
      </w:pPr>
      <w:r>
        <w:rPr>
          <w:color w:val="auto"/>
          <w:sz w:val="22"/>
          <w:szCs w:val="22"/>
        </w:rPr>
        <w:t xml:space="preserve">Učni nebo studenti, kteří jsou zapojeni do odborné přípravy na základě smlouvy o učňovském nebo odborném vzdělávání, se do počtu zaměstnanců nezahrnují. Délka mateřské nebo rodičovské dovolené se nezapočítává. </w:t>
      </w:r>
    </w:p>
    <w:p w:rsidR="00DD1186" w:rsidRDefault="00DD1186" w:rsidP="00DD1186">
      <w:pPr>
        <w:pStyle w:val="Default"/>
        <w:rPr>
          <w:color w:val="auto"/>
          <w:sz w:val="22"/>
          <w:szCs w:val="22"/>
        </w:rPr>
      </w:pPr>
      <w:r>
        <w:rPr>
          <w:i/>
          <w:iCs/>
          <w:color w:val="auto"/>
          <w:sz w:val="22"/>
          <w:szCs w:val="22"/>
        </w:rPr>
        <w:t xml:space="preserve">Článek 6 </w:t>
      </w:r>
    </w:p>
    <w:p w:rsidR="00DD1186" w:rsidRDefault="00DD1186" w:rsidP="00DD1186">
      <w:pPr>
        <w:pStyle w:val="Default"/>
        <w:rPr>
          <w:color w:val="auto"/>
          <w:sz w:val="22"/>
          <w:szCs w:val="22"/>
        </w:rPr>
      </w:pPr>
      <w:r>
        <w:rPr>
          <w:b/>
          <w:bCs/>
          <w:color w:val="auto"/>
          <w:sz w:val="22"/>
          <w:szCs w:val="22"/>
        </w:rPr>
        <w:t xml:space="preserve">Sestavování údajů o podniku </w:t>
      </w:r>
    </w:p>
    <w:p w:rsidR="00DD1186" w:rsidRDefault="00DD1186" w:rsidP="00DD1186">
      <w:pPr>
        <w:pStyle w:val="Default"/>
        <w:rPr>
          <w:color w:val="auto"/>
          <w:sz w:val="22"/>
          <w:szCs w:val="22"/>
        </w:rPr>
      </w:pPr>
      <w:r>
        <w:rPr>
          <w:color w:val="auto"/>
          <w:sz w:val="22"/>
          <w:szCs w:val="22"/>
        </w:rPr>
        <w:t xml:space="preserve">1. V případě nezávislého podniku jsou údaje včetně počtu zaměstnanců sestaveny výlučně na základě účetních závěrů daného podniku. </w:t>
      </w:r>
    </w:p>
    <w:p w:rsidR="00DD1186" w:rsidRDefault="00DD1186" w:rsidP="00DD1186">
      <w:pPr>
        <w:pStyle w:val="Default"/>
        <w:rPr>
          <w:color w:val="auto"/>
          <w:sz w:val="22"/>
          <w:szCs w:val="22"/>
        </w:rPr>
      </w:pPr>
    </w:p>
    <w:p w:rsidR="00DD1186" w:rsidRDefault="00DD1186" w:rsidP="00DD1186">
      <w:pPr>
        <w:pStyle w:val="Default"/>
        <w:rPr>
          <w:color w:val="auto"/>
          <w:sz w:val="22"/>
          <w:szCs w:val="22"/>
        </w:rPr>
      </w:pPr>
      <w:r>
        <w:rPr>
          <w:color w:val="auto"/>
          <w:sz w:val="22"/>
          <w:szCs w:val="22"/>
        </w:rPr>
        <w:t xml:space="preserve">2. Údaje, včetně počtu zaměstnanců, podniku, který má partnerské podniky nebo propojené podniky, jsou sestaveny na základě účetní závěrky a dalších údajů podniku nebo na základě konsolidované účetní závěrky podniku, je-li sestavována, nebo konsolidované účetní závěrky, do které je podnik zahrnut v rámci konsolidace. </w:t>
      </w:r>
    </w:p>
    <w:p w:rsidR="00DD1186" w:rsidRDefault="00DD1186" w:rsidP="00DD1186">
      <w:pPr>
        <w:pStyle w:val="Default"/>
        <w:rPr>
          <w:color w:val="auto"/>
          <w:sz w:val="22"/>
          <w:szCs w:val="22"/>
        </w:rPr>
      </w:pPr>
    </w:p>
    <w:p w:rsidR="00DD1186" w:rsidRDefault="00DD1186" w:rsidP="00DD1186">
      <w:pPr>
        <w:pStyle w:val="Default"/>
        <w:rPr>
          <w:color w:val="auto"/>
          <w:sz w:val="22"/>
          <w:szCs w:val="22"/>
        </w:rPr>
      </w:pPr>
      <w:r>
        <w:rPr>
          <w:color w:val="auto"/>
          <w:sz w:val="22"/>
          <w:szCs w:val="22"/>
        </w:rPr>
        <w:t xml:space="preserve">S údaji uvedenými v prvním pododstavci jsou agregovány údaje o všech partnerských podnicích daného podniku, které na něj přímo navazují jak na nižší, tak na vyšší úrovni. Tyto údaje jsou připočítávány v poměrně výši podle procentuálního podílu na základním kapitálu či na hlasovacích právech (podle toho, která z hodnot je vyšší). V případě vzájemného vlastnictví se použije vyšší z procentuálních podílů. </w:t>
      </w:r>
    </w:p>
    <w:p w:rsidR="00DD1186" w:rsidRDefault="00DD1186" w:rsidP="00DD1186">
      <w:pPr>
        <w:pStyle w:val="Default"/>
        <w:rPr>
          <w:color w:val="auto"/>
          <w:sz w:val="22"/>
          <w:szCs w:val="22"/>
        </w:rPr>
      </w:pPr>
      <w:r>
        <w:rPr>
          <w:color w:val="auto"/>
          <w:sz w:val="22"/>
          <w:szCs w:val="22"/>
        </w:rPr>
        <w:t xml:space="preserve">K údajům uvedeným v prvním a druhém pododstavci je připojeno 100 % hodnot všech podniků, které jsou s daným podnikem přímo či nepřímo propojeny, pokud tyto hodnoty nejsou již zahrnuty do konsolidované účetní závěrky. </w:t>
      </w:r>
    </w:p>
    <w:p w:rsidR="00DD1186" w:rsidRDefault="00DD1186" w:rsidP="00DD1186">
      <w:pPr>
        <w:pStyle w:val="Default"/>
        <w:rPr>
          <w:color w:val="auto"/>
          <w:sz w:val="22"/>
          <w:szCs w:val="22"/>
        </w:rPr>
      </w:pPr>
      <w:r>
        <w:rPr>
          <w:color w:val="auto"/>
          <w:sz w:val="22"/>
          <w:szCs w:val="22"/>
        </w:rPr>
        <w:t xml:space="preserve">3. Pro účely použití odstavce 2 jsou údaje o partnerských podnicích daného podniku získány z účetních závěrek těchto partnerských podniků a z ostatních jejich údajů, případně konsolidovaných, jsou-li takové. S těmito údaji je agregováno 100 % údajů o podnicích, které jsou s těmito partnerskými podniky propojeny, ledaže jejich účetní údaje již byly zahrnuty do konsolidované účetní závěrky. </w:t>
      </w:r>
    </w:p>
    <w:p w:rsidR="00DD1186" w:rsidRDefault="00DD1186" w:rsidP="00DD1186">
      <w:pPr>
        <w:pStyle w:val="Default"/>
        <w:rPr>
          <w:color w:val="auto"/>
          <w:sz w:val="22"/>
          <w:szCs w:val="22"/>
        </w:rPr>
      </w:pPr>
    </w:p>
    <w:p w:rsidR="00DD1186" w:rsidRDefault="00DD1186" w:rsidP="00DD1186">
      <w:pPr>
        <w:pStyle w:val="Default"/>
        <w:rPr>
          <w:rFonts w:ascii="Times New Roman" w:hAnsi="Times New Roman" w:cs="Times New Roman"/>
          <w:color w:val="auto"/>
          <w:sz w:val="20"/>
          <w:szCs w:val="20"/>
        </w:rPr>
      </w:pPr>
      <w:r>
        <w:rPr>
          <w:color w:val="auto"/>
          <w:sz w:val="22"/>
          <w:szCs w:val="22"/>
        </w:rPr>
        <w:t xml:space="preserve">Pro účely použití odstavce 2 se údaje o podnicích, které jsou s daným podnikem propojeny, zjišťují z jejich účetní závěrky a z ostatních jejich údajů, případně v konsolidované formě, je-li k dispozici. S těmito údaji jsou poměrným způsobem agregovány údaje o všech případných partnerských podnicích propojených podniků, které na ně bezprostředně navazují jak na nižší, tak na vyšší úrovni, ledaže jejich účetní údaje již byly zahrnuty do konsolidované účetní závěrky v podílu odpovídajícím alespoň procentuálnímu podílu určenému v odst. 2 druhém pododstavci. </w:t>
      </w:r>
      <w:r>
        <w:rPr>
          <w:rFonts w:ascii="Times New Roman" w:hAnsi="Times New Roman" w:cs="Times New Roman"/>
          <w:color w:val="auto"/>
          <w:sz w:val="20"/>
          <w:szCs w:val="20"/>
        </w:rPr>
        <w:t xml:space="preserve">102 </w:t>
      </w:r>
    </w:p>
    <w:p w:rsidR="00DD1186" w:rsidRDefault="00DD1186" w:rsidP="00DD1186">
      <w:pPr>
        <w:pStyle w:val="Default"/>
        <w:rPr>
          <w:color w:val="auto"/>
        </w:rPr>
      </w:pPr>
    </w:p>
    <w:p w:rsidR="00DD1186" w:rsidRDefault="00DD1186" w:rsidP="00DD1186">
      <w:pPr>
        <w:pStyle w:val="Default"/>
        <w:pageBreakBefore/>
        <w:rPr>
          <w:color w:val="auto"/>
        </w:rPr>
      </w:pPr>
    </w:p>
    <w:p w:rsidR="00DD1186" w:rsidRDefault="00DD1186" w:rsidP="00DD1186">
      <w:pPr>
        <w:pStyle w:val="Default"/>
        <w:rPr>
          <w:color w:val="auto"/>
          <w:sz w:val="22"/>
          <w:szCs w:val="22"/>
        </w:rPr>
      </w:pPr>
      <w:r>
        <w:rPr>
          <w:color w:val="auto"/>
          <w:sz w:val="22"/>
          <w:szCs w:val="22"/>
        </w:rPr>
        <w:t xml:space="preserve">4. Není-li počet zaměstnanců daného podniku uveden v konsolidované účetní závěrce, provede se jeho výpočet poměrnou agregací údajů za jeho partnerské podniky a přičtením údajů za podniky, se kterými je daný podnik propojen. </w:t>
      </w:r>
    </w:p>
    <w:p w:rsidR="00721CA1" w:rsidRDefault="00721CA1">
      <w:bookmarkStart w:id="0" w:name="_GoBack"/>
      <w:bookmarkEnd w:id="0"/>
    </w:p>
    <w:sectPr w:rsidR="00721CA1" w:rsidSect="00BA5EB6">
      <w:pgSz w:w="11906" w:h="17340"/>
      <w:pgMar w:top="1856" w:right="883" w:bottom="658" w:left="118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86"/>
    <w:rsid w:val="00721CA1"/>
    <w:rsid w:val="00DD11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961A1-9809-41C5-B989-6233EFC0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11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8086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2017-06-27T07:18:00Z</dcterms:created>
  <dcterms:modified xsi:type="dcterms:W3CDTF">2017-06-27T07:19:00Z</dcterms:modified>
</cp:coreProperties>
</file>